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助学金线上申请流程说明（参考）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3571240"/>
            <wp:effectExtent l="0" t="0" r="6985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助学金申请</w:t>
      </w:r>
      <w:r>
        <w:rPr>
          <w:rFonts w:hint="eastAsia" w:ascii="仿宋_GB2312" w:eastAsia="仿宋_GB2312"/>
          <w:sz w:val="32"/>
          <w:szCs w:val="32"/>
        </w:rPr>
        <w:t>”中找到相应的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2609850"/>
            <wp:effectExtent l="0" t="0" r="825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455035"/>
            <wp:effectExtent l="0" t="0" r="698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4150" cy="3059430"/>
            <wp:effectExtent l="0" t="0" r="12700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395854E4"/>
    <w:rsid w:val="458C3053"/>
    <w:rsid w:val="4F404315"/>
    <w:rsid w:val="51FE7A4E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130</Characters>
  <Lines>0</Lines>
  <Paragraphs>0</Paragraphs>
  <TotalTime>16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楠楠佳</cp:lastModifiedBy>
  <dcterms:modified xsi:type="dcterms:W3CDTF">2025-12-11T02:23:59Z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14C39100273E41019D1EC971B790994F_13</vt:lpwstr>
  </property>
</Properties>
</file>